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3C" w:rsidRPr="00F43FE9" w:rsidRDefault="001F163C" w:rsidP="00F43FE9">
      <w:pPr>
        <w:pStyle w:val="ListParagraph"/>
        <w:numPr>
          <w:ilvl w:val="0"/>
          <w:numId w:val="2"/>
        </w:numPr>
        <w:autoSpaceDE w:val="0"/>
        <w:autoSpaceDN w:val="0"/>
        <w:adjustRightInd w:val="0"/>
        <w:spacing w:after="0" w:line="240" w:lineRule="auto"/>
        <w:ind w:left="288"/>
        <w:jc w:val="both"/>
        <w:rPr>
          <w:rFonts w:ascii="Arial" w:hAnsi="Arial" w:cs="Arial"/>
          <w:color w:val="231F20"/>
          <w:sz w:val="24"/>
          <w:szCs w:val="24"/>
        </w:rPr>
      </w:pPr>
      <w:r w:rsidRPr="00F43FE9">
        <w:rPr>
          <w:rFonts w:ascii="Arial" w:hAnsi="Arial" w:cs="Arial"/>
          <w:color w:val="231F20"/>
          <w:sz w:val="24"/>
          <w:szCs w:val="24"/>
        </w:rPr>
        <w:t xml:space="preserve">In </w:t>
      </w:r>
      <w:r w:rsidRPr="00404D66">
        <w:rPr>
          <w:rFonts w:ascii="Arial" w:hAnsi="Arial" w:cs="Arial"/>
          <w:b/>
          <w:color w:val="231F20"/>
          <w:sz w:val="24"/>
          <w:szCs w:val="24"/>
        </w:rPr>
        <w:t>section 51</w:t>
      </w:r>
      <w:r w:rsidRPr="00F43FE9">
        <w:rPr>
          <w:rFonts w:ascii="Arial" w:hAnsi="Arial" w:cs="Arial"/>
          <w:color w:val="231F20"/>
          <w:sz w:val="24"/>
          <w:szCs w:val="24"/>
        </w:rPr>
        <w:t xml:space="preserve"> of the Income-tax Act, the following proviso shall be inserted with effect from the 1st day of April, 2015, namely:—</w:t>
      </w:r>
    </w:p>
    <w:p w:rsidR="001F163C" w:rsidRDefault="001F163C" w:rsidP="001F163C">
      <w:pPr>
        <w:autoSpaceDE w:val="0"/>
        <w:autoSpaceDN w:val="0"/>
        <w:adjustRightInd w:val="0"/>
        <w:spacing w:after="0" w:line="240" w:lineRule="auto"/>
        <w:jc w:val="both"/>
        <w:rPr>
          <w:rFonts w:ascii="Arial" w:hAnsi="Arial" w:cs="Arial"/>
          <w:color w:val="231F20"/>
          <w:sz w:val="24"/>
          <w:szCs w:val="24"/>
        </w:rPr>
      </w:pPr>
    </w:p>
    <w:p w:rsidR="005015BD" w:rsidRDefault="001F163C" w:rsidP="001F163C">
      <w:pPr>
        <w:autoSpaceDE w:val="0"/>
        <w:autoSpaceDN w:val="0"/>
        <w:adjustRightInd w:val="0"/>
        <w:spacing w:after="0" w:line="240" w:lineRule="auto"/>
        <w:jc w:val="both"/>
        <w:rPr>
          <w:rFonts w:ascii="Arial" w:hAnsi="Arial" w:cs="Arial"/>
          <w:color w:val="231F20"/>
          <w:sz w:val="24"/>
          <w:szCs w:val="24"/>
        </w:rPr>
      </w:pPr>
      <w:r w:rsidRPr="001F163C">
        <w:rPr>
          <w:rFonts w:ascii="Arial" w:hAnsi="Arial" w:cs="Arial"/>
          <w:color w:val="231F20"/>
          <w:sz w:val="24"/>
          <w:szCs w:val="24"/>
        </w:rPr>
        <w:t xml:space="preserve">“Provided that where any sum of </w:t>
      </w:r>
      <w:r w:rsidRPr="001F163C">
        <w:rPr>
          <w:rFonts w:ascii="Arial" w:hAnsi="Arial" w:cs="Arial"/>
          <w:b/>
          <w:color w:val="231F20"/>
          <w:sz w:val="24"/>
          <w:szCs w:val="24"/>
        </w:rPr>
        <w:t>money, received as an advance</w:t>
      </w:r>
      <w:r w:rsidRPr="001F163C">
        <w:rPr>
          <w:rFonts w:ascii="Arial" w:hAnsi="Arial" w:cs="Arial"/>
          <w:color w:val="231F20"/>
          <w:sz w:val="24"/>
          <w:szCs w:val="24"/>
        </w:rPr>
        <w:t xml:space="preserve"> or otherwise in the course of</w:t>
      </w:r>
      <w:r>
        <w:rPr>
          <w:rFonts w:ascii="Arial" w:hAnsi="Arial" w:cs="Arial"/>
          <w:color w:val="231F20"/>
          <w:sz w:val="24"/>
          <w:szCs w:val="24"/>
        </w:rPr>
        <w:t xml:space="preserve"> </w:t>
      </w:r>
      <w:r w:rsidRPr="001F163C">
        <w:rPr>
          <w:rFonts w:ascii="Arial" w:hAnsi="Arial" w:cs="Arial"/>
          <w:color w:val="231F20"/>
          <w:sz w:val="24"/>
          <w:szCs w:val="24"/>
        </w:rPr>
        <w:t xml:space="preserve">negotiations for transfer of a capital asset, has been included in the total income of the </w:t>
      </w:r>
      <w:proofErr w:type="spellStart"/>
      <w:r w:rsidRPr="001F163C">
        <w:rPr>
          <w:rFonts w:ascii="Arial" w:hAnsi="Arial" w:cs="Arial"/>
          <w:color w:val="231F20"/>
          <w:sz w:val="24"/>
          <w:szCs w:val="24"/>
        </w:rPr>
        <w:t>assessee</w:t>
      </w:r>
      <w:proofErr w:type="spellEnd"/>
      <w:r w:rsidRPr="001F163C">
        <w:rPr>
          <w:rFonts w:ascii="Arial" w:hAnsi="Arial" w:cs="Arial"/>
          <w:color w:val="231F20"/>
          <w:sz w:val="24"/>
          <w:szCs w:val="24"/>
        </w:rPr>
        <w:t xml:space="preserve"> for</w:t>
      </w:r>
      <w:r>
        <w:rPr>
          <w:rFonts w:ascii="Arial" w:hAnsi="Arial" w:cs="Arial"/>
          <w:color w:val="231F20"/>
          <w:sz w:val="24"/>
          <w:szCs w:val="24"/>
        </w:rPr>
        <w:t xml:space="preserve"> </w:t>
      </w:r>
      <w:r w:rsidRPr="001F163C">
        <w:rPr>
          <w:rFonts w:ascii="Arial" w:hAnsi="Arial" w:cs="Arial"/>
          <w:color w:val="231F20"/>
          <w:sz w:val="24"/>
          <w:szCs w:val="24"/>
        </w:rPr>
        <w:t>any previous year in accordance with the provisions of clause (</w:t>
      </w:r>
      <w:r w:rsidRPr="001F163C">
        <w:rPr>
          <w:rFonts w:ascii="Arial" w:hAnsi="Arial" w:cs="Arial"/>
          <w:i/>
          <w:iCs/>
          <w:color w:val="231F20"/>
          <w:sz w:val="24"/>
          <w:szCs w:val="24"/>
        </w:rPr>
        <w:t>ix</w:t>
      </w:r>
      <w:r w:rsidRPr="001F163C">
        <w:rPr>
          <w:rFonts w:ascii="Arial" w:hAnsi="Arial" w:cs="Arial"/>
          <w:color w:val="231F20"/>
          <w:sz w:val="24"/>
          <w:szCs w:val="24"/>
        </w:rPr>
        <w:t>) of sub-section (</w:t>
      </w:r>
      <w:r w:rsidRPr="001F163C">
        <w:rPr>
          <w:rFonts w:ascii="Arial" w:hAnsi="Arial" w:cs="Arial"/>
          <w:i/>
          <w:iCs/>
          <w:color w:val="231F20"/>
          <w:sz w:val="24"/>
          <w:szCs w:val="24"/>
        </w:rPr>
        <w:t>2</w:t>
      </w:r>
      <w:r w:rsidRPr="001F163C">
        <w:rPr>
          <w:rFonts w:ascii="Arial" w:hAnsi="Arial" w:cs="Arial"/>
          <w:color w:val="231F20"/>
          <w:sz w:val="24"/>
          <w:szCs w:val="24"/>
        </w:rPr>
        <w:t>) of section 56,</w:t>
      </w:r>
      <w:r>
        <w:rPr>
          <w:rFonts w:ascii="Arial" w:hAnsi="Arial" w:cs="Arial"/>
          <w:color w:val="231F20"/>
          <w:sz w:val="24"/>
          <w:szCs w:val="24"/>
        </w:rPr>
        <w:t xml:space="preserve"> </w:t>
      </w:r>
      <w:r w:rsidRPr="001F163C">
        <w:rPr>
          <w:rFonts w:ascii="Arial" w:hAnsi="Arial" w:cs="Arial"/>
          <w:color w:val="231F20"/>
          <w:sz w:val="24"/>
          <w:szCs w:val="24"/>
        </w:rPr>
        <w:t xml:space="preserve">then, such sum shall </w:t>
      </w:r>
      <w:r w:rsidRPr="001F163C">
        <w:rPr>
          <w:rFonts w:ascii="Arial" w:hAnsi="Arial" w:cs="Arial"/>
          <w:b/>
          <w:color w:val="231F20"/>
          <w:sz w:val="24"/>
          <w:szCs w:val="24"/>
        </w:rPr>
        <w:t>not be deducted</w:t>
      </w:r>
      <w:r w:rsidRPr="001F163C">
        <w:rPr>
          <w:rFonts w:ascii="Arial" w:hAnsi="Arial" w:cs="Arial"/>
          <w:color w:val="231F20"/>
          <w:sz w:val="24"/>
          <w:szCs w:val="24"/>
        </w:rPr>
        <w:t xml:space="preserve"> </w:t>
      </w:r>
      <w:r w:rsidRPr="001F163C">
        <w:rPr>
          <w:rFonts w:ascii="Arial" w:hAnsi="Arial" w:cs="Arial"/>
          <w:b/>
          <w:color w:val="231F20"/>
          <w:sz w:val="24"/>
          <w:szCs w:val="24"/>
        </w:rPr>
        <w:t>from the cost</w:t>
      </w:r>
      <w:r w:rsidRPr="001F163C">
        <w:rPr>
          <w:rFonts w:ascii="Arial" w:hAnsi="Arial" w:cs="Arial"/>
          <w:color w:val="231F20"/>
          <w:sz w:val="24"/>
          <w:szCs w:val="24"/>
        </w:rPr>
        <w:t xml:space="preserve"> for which the asset was acquired or the written</w:t>
      </w:r>
      <w:r>
        <w:rPr>
          <w:rFonts w:ascii="Arial" w:hAnsi="Arial" w:cs="Arial"/>
          <w:color w:val="231F20"/>
          <w:sz w:val="24"/>
          <w:szCs w:val="24"/>
        </w:rPr>
        <w:t xml:space="preserve"> </w:t>
      </w:r>
      <w:r w:rsidRPr="001F163C">
        <w:rPr>
          <w:rFonts w:ascii="Arial" w:hAnsi="Arial" w:cs="Arial"/>
          <w:color w:val="231F20"/>
          <w:sz w:val="24"/>
          <w:szCs w:val="24"/>
        </w:rPr>
        <w:t>down value or the fair market value, as the case may be, in computing the cost of acquisition.”.</w:t>
      </w:r>
    </w:p>
    <w:p w:rsidR="00F43FE9" w:rsidRDefault="00F43FE9" w:rsidP="001F163C">
      <w:pPr>
        <w:autoSpaceDE w:val="0"/>
        <w:autoSpaceDN w:val="0"/>
        <w:adjustRightInd w:val="0"/>
        <w:spacing w:after="0" w:line="240" w:lineRule="auto"/>
        <w:jc w:val="both"/>
        <w:rPr>
          <w:rFonts w:ascii="Arial" w:hAnsi="Arial" w:cs="Arial"/>
          <w:color w:val="231F20"/>
          <w:sz w:val="24"/>
          <w:szCs w:val="24"/>
        </w:rPr>
      </w:pPr>
    </w:p>
    <w:p w:rsidR="00F43FE9" w:rsidRPr="00F43FE9" w:rsidRDefault="00F43FE9" w:rsidP="00F43FE9">
      <w:pPr>
        <w:pStyle w:val="ListParagraph"/>
        <w:numPr>
          <w:ilvl w:val="0"/>
          <w:numId w:val="2"/>
        </w:numPr>
        <w:autoSpaceDE w:val="0"/>
        <w:autoSpaceDN w:val="0"/>
        <w:adjustRightInd w:val="0"/>
        <w:spacing w:after="0" w:line="240" w:lineRule="auto"/>
        <w:ind w:left="288"/>
        <w:jc w:val="both"/>
        <w:rPr>
          <w:rFonts w:ascii="Arial" w:hAnsi="Arial" w:cs="Arial"/>
          <w:color w:val="231F20"/>
          <w:sz w:val="24"/>
          <w:szCs w:val="24"/>
        </w:rPr>
      </w:pPr>
      <w:r w:rsidRPr="00F43FE9">
        <w:rPr>
          <w:rFonts w:ascii="Arial" w:hAnsi="Arial" w:cs="Arial"/>
          <w:color w:val="231F20"/>
          <w:sz w:val="24"/>
          <w:szCs w:val="24"/>
        </w:rPr>
        <w:t xml:space="preserve">In </w:t>
      </w:r>
      <w:r w:rsidRPr="00404D66">
        <w:rPr>
          <w:rFonts w:ascii="Arial" w:hAnsi="Arial" w:cs="Arial"/>
          <w:b/>
          <w:color w:val="231F20"/>
          <w:sz w:val="24"/>
          <w:szCs w:val="24"/>
        </w:rPr>
        <w:t>section 56</w:t>
      </w:r>
      <w:r w:rsidRPr="00F43FE9">
        <w:rPr>
          <w:rFonts w:ascii="Arial" w:hAnsi="Arial" w:cs="Arial"/>
          <w:color w:val="231F20"/>
          <w:sz w:val="24"/>
          <w:szCs w:val="24"/>
        </w:rPr>
        <w:t xml:space="preserve"> of the Income-tax Act, in sub-section (</w:t>
      </w:r>
      <w:r w:rsidRPr="00F43FE9">
        <w:rPr>
          <w:rFonts w:ascii="Arial" w:hAnsi="Arial" w:cs="Arial"/>
          <w:i/>
          <w:iCs/>
          <w:color w:val="231F20"/>
          <w:sz w:val="24"/>
          <w:szCs w:val="24"/>
        </w:rPr>
        <w:t>2</w:t>
      </w:r>
      <w:r w:rsidRPr="00F43FE9">
        <w:rPr>
          <w:rFonts w:ascii="Arial" w:hAnsi="Arial" w:cs="Arial"/>
          <w:color w:val="231F20"/>
          <w:sz w:val="24"/>
          <w:szCs w:val="24"/>
        </w:rPr>
        <w:t>), after clause (</w:t>
      </w:r>
      <w:r w:rsidRPr="00F43FE9">
        <w:rPr>
          <w:rFonts w:ascii="Arial" w:hAnsi="Arial" w:cs="Arial"/>
          <w:i/>
          <w:iCs/>
          <w:color w:val="231F20"/>
          <w:sz w:val="24"/>
          <w:szCs w:val="24"/>
        </w:rPr>
        <w:t>viii</w:t>
      </w:r>
      <w:r w:rsidRPr="00F43FE9">
        <w:rPr>
          <w:rFonts w:ascii="Arial" w:hAnsi="Arial" w:cs="Arial"/>
          <w:color w:val="231F20"/>
          <w:sz w:val="24"/>
          <w:szCs w:val="24"/>
        </w:rPr>
        <w:t>), the following clause shall be inserted with effect from the 1st day of April, 2015, namely:—</w:t>
      </w:r>
    </w:p>
    <w:p w:rsidR="00F43FE9" w:rsidRDefault="00F43FE9" w:rsidP="00F43FE9">
      <w:pPr>
        <w:autoSpaceDE w:val="0"/>
        <w:autoSpaceDN w:val="0"/>
        <w:adjustRightInd w:val="0"/>
        <w:spacing w:after="0" w:line="240" w:lineRule="auto"/>
        <w:jc w:val="both"/>
        <w:rPr>
          <w:rFonts w:ascii="Arial" w:hAnsi="Arial" w:cs="Arial"/>
          <w:color w:val="231F20"/>
          <w:sz w:val="24"/>
          <w:szCs w:val="24"/>
        </w:rPr>
      </w:pPr>
    </w:p>
    <w:p w:rsidR="00F43FE9" w:rsidRPr="000269A8" w:rsidRDefault="00F43FE9" w:rsidP="00F43FE9">
      <w:pPr>
        <w:autoSpaceDE w:val="0"/>
        <w:autoSpaceDN w:val="0"/>
        <w:adjustRightInd w:val="0"/>
        <w:spacing w:after="0" w:line="240" w:lineRule="auto"/>
        <w:jc w:val="both"/>
        <w:rPr>
          <w:rFonts w:ascii="Arial" w:hAnsi="Arial" w:cs="Arial"/>
          <w:color w:val="231F20"/>
          <w:sz w:val="24"/>
          <w:szCs w:val="24"/>
        </w:rPr>
      </w:pPr>
      <w:r w:rsidRPr="000269A8">
        <w:rPr>
          <w:rFonts w:ascii="Arial" w:hAnsi="Arial" w:cs="Arial"/>
          <w:color w:val="231F20"/>
          <w:sz w:val="24"/>
          <w:szCs w:val="24"/>
        </w:rPr>
        <w:t>“(</w:t>
      </w:r>
      <w:r w:rsidRPr="000269A8">
        <w:rPr>
          <w:rFonts w:ascii="Arial" w:hAnsi="Arial" w:cs="Arial"/>
          <w:i/>
          <w:iCs/>
          <w:color w:val="231F20"/>
          <w:sz w:val="24"/>
          <w:szCs w:val="24"/>
        </w:rPr>
        <w:t>ix</w:t>
      </w:r>
      <w:r w:rsidRPr="000269A8">
        <w:rPr>
          <w:rFonts w:ascii="Arial" w:hAnsi="Arial" w:cs="Arial"/>
          <w:color w:val="231F20"/>
          <w:sz w:val="24"/>
          <w:szCs w:val="24"/>
        </w:rPr>
        <w:t>) any sum of money received as an advance or otherwise in the course of negotiations for</w:t>
      </w:r>
      <w:r>
        <w:rPr>
          <w:rFonts w:ascii="Arial" w:hAnsi="Arial" w:cs="Arial"/>
          <w:color w:val="231F20"/>
          <w:sz w:val="24"/>
          <w:szCs w:val="24"/>
        </w:rPr>
        <w:t xml:space="preserve"> </w:t>
      </w:r>
      <w:r w:rsidRPr="000269A8">
        <w:rPr>
          <w:rFonts w:ascii="Arial" w:hAnsi="Arial" w:cs="Arial"/>
          <w:color w:val="231F20"/>
          <w:sz w:val="24"/>
          <w:szCs w:val="24"/>
        </w:rPr>
        <w:t>transfer of a capital asset, if,––</w:t>
      </w:r>
    </w:p>
    <w:p w:rsidR="00F43FE9" w:rsidRPr="000269A8" w:rsidRDefault="00F43FE9" w:rsidP="00F43FE9">
      <w:pPr>
        <w:autoSpaceDE w:val="0"/>
        <w:autoSpaceDN w:val="0"/>
        <w:adjustRightInd w:val="0"/>
        <w:spacing w:after="0" w:line="240" w:lineRule="auto"/>
        <w:jc w:val="both"/>
        <w:rPr>
          <w:rFonts w:ascii="Arial" w:hAnsi="Arial" w:cs="Arial"/>
          <w:color w:val="231F20"/>
          <w:sz w:val="24"/>
          <w:szCs w:val="24"/>
        </w:rPr>
      </w:pPr>
      <w:r w:rsidRPr="000269A8">
        <w:rPr>
          <w:rFonts w:ascii="Arial" w:hAnsi="Arial" w:cs="Arial"/>
          <w:color w:val="231F20"/>
          <w:sz w:val="24"/>
          <w:szCs w:val="24"/>
        </w:rPr>
        <w:t>(</w:t>
      </w:r>
      <w:r w:rsidRPr="000269A8">
        <w:rPr>
          <w:rFonts w:ascii="Arial" w:hAnsi="Arial" w:cs="Arial"/>
          <w:i/>
          <w:iCs/>
          <w:color w:val="231F20"/>
          <w:sz w:val="24"/>
          <w:szCs w:val="24"/>
        </w:rPr>
        <w:t>a</w:t>
      </w:r>
      <w:r w:rsidRPr="000269A8">
        <w:rPr>
          <w:rFonts w:ascii="Arial" w:hAnsi="Arial" w:cs="Arial"/>
          <w:color w:val="231F20"/>
          <w:sz w:val="24"/>
          <w:szCs w:val="24"/>
        </w:rPr>
        <w:t xml:space="preserve">) </w:t>
      </w:r>
      <w:proofErr w:type="gramStart"/>
      <w:r w:rsidRPr="000269A8">
        <w:rPr>
          <w:rFonts w:ascii="Arial" w:hAnsi="Arial" w:cs="Arial"/>
          <w:color w:val="231F20"/>
          <w:sz w:val="24"/>
          <w:szCs w:val="24"/>
        </w:rPr>
        <w:t>such</w:t>
      </w:r>
      <w:proofErr w:type="gramEnd"/>
      <w:r w:rsidRPr="000269A8">
        <w:rPr>
          <w:rFonts w:ascii="Arial" w:hAnsi="Arial" w:cs="Arial"/>
          <w:color w:val="231F20"/>
          <w:sz w:val="24"/>
          <w:szCs w:val="24"/>
        </w:rPr>
        <w:t xml:space="preserve"> sum is forfeited; and</w:t>
      </w:r>
    </w:p>
    <w:p w:rsidR="00F43FE9" w:rsidRDefault="00F43FE9" w:rsidP="00F43FE9">
      <w:pPr>
        <w:jc w:val="both"/>
        <w:rPr>
          <w:rFonts w:ascii="Arial" w:hAnsi="Arial" w:cs="Arial"/>
          <w:color w:val="231F20"/>
          <w:sz w:val="24"/>
          <w:szCs w:val="24"/>
        </w:rPr>
      </w:pPr>
      <w:r w:rsidRPr="000269A8">
        <w:rPr>
          <w:rFonts w:ascii="Arial" w:hAnsi="Arial" w:cs="Arial"/>
          <w:color w:val="231F20"/>
          <w:sz w:val="24"/>
          <w:szCs w:val="24"/>
        </w:rPr>
        <w:t>(</w:t>
      </w:r>
      <w:r w:rsidRPr="000269A8">
        <w:rPr>
          <w:rFonts w:ascii="Arial" w:hAnsi="Arial" w:cs="Arial"/>
          <w:i/>
          <w:iCs/>
          <w:color w:val="231F20"/>
          <w:sz w:val="24"/>
          <w:szCs w:val="24"/>
        </w:rPr>
        <w:t>b</w:t>
      </w:r>
      <w:r w:rsidRPr="000269A8">
        <w:rPr>
          <w:rFonts w:ascii="Arial" w:hAnsi="Arial" w:cs="Arial"/>
          <w:color w:val="231F20"/>
          <w:sz w:val="24"/>
          <w:szCs w:val="24"/>
        </w:rPr>
        <w:t xml:space="preserve">) </w:t>
      </w:r>
      <w:proofErr w:type="gramStart"/>
      <w:r w:rsidRPr="000269A8">
        <w:rPr>
          <w:rFonts w:ascii="Arial" w:hAnsi="Arial" w:cs="Arial"/>
          <w:color w:val="231F20"/>
          <w:sz w:val="24"/>
          <w:szCs w:val="24"/>
        </w:rPr>
        <w:t>the</w:t>
      </w:r>
      <w:proofErr w:type="gramEnd"/>
      <w:r w:rsidRPr="000269A8">
        <w:rPr>
          <w:rFonts w:ascii="Arial" w:hAnsi="Arial" w:cs="Arial"/>
          <w:color w:val="231F20"/>
          <w:sz w:val="24"/>
          <w:szCs w:val="24"/>
        </w:rPr>
        <w:t xml:space="preserve"> negotiations do not result in transfer of such capital asset.”.</w:t>
      </w:r>
    </w:p>
    <w:p w:rsidR="00707490" w:rsidRDefault="00707490" w:rsidP="00F43FE9">
      <w:pPr>
        <w:jc w:val="both"/>
        <w:rPr>
          <w:rFonts w:ascii="Arial" w:hAnsi="Arial" w:cs="Arial"/>
          <w:color w:val="231F20"/>
          <w:sz w:val="24"/>
          <w:szCs w:val="24"/>
        </w:rPr>
      </w:pPr>
    </w:p>
    <w:p w:rsidR="00707490" w:rsidRPr="000269A8" w:rsidRDefault="00707490" w:rsidP="00707490">
      <w:pPr>
        <w:pBdr>
          <w:top w:val="single" w:sz="4" w:space="1" w:color="auto"/>
          <w:bottom w:val="single" w:sz="4" w:space="1" w:color="auto"/>
        </w:pBdr>
        <w:jc w:val="both"/>
        <w:rPr>
          <w:sz w:val="24"/>
          <w:szCs w:val="24"/>
        </w:rPr>
      </w:pPr>
      <w:r>
        <w:rPr>
          <w:rStyle w:val="Strong"/>
        </w:rPr>
        <w:t>Taxability of advance for transfer of a capital asset</w:t>
      </w:r>
    </w:p>
    <w:p w:rsidR="00707490" w:rsidRPr="00707490" w:rsidRDefault="00707490" w:rsidP="00707490">
      <w:pPr>
        <w:pStyle w:val="NormalWeb"/>
        <w:jc w:val="both"/>
        <w:rPr>
          <w:rFonts w:ascii="Arial" w:hAnsi="Arial" w:cs="Arial"/>
        </w:rPr>
      </w:pPr>
      <w:r w:rsidRPr="00707490">
        <w:rPr>
          <w:rFonts w:ascii="Arial" w:hAnsi="Arial" w:cs="Arial"/>
        </w:rPr>
        <w:t>The existing provisions contained in section 56 of the Act provide that income of every kind which is not to be excluded from the total income under the Act shall be chargeable to income-tax under the head “Income from other sources”, if it is not chargeable to income-tax under any other head of income.</w:t>
      </w:r>
    </w:p>
    <w:p w:rsidR="00707490" w:rsidRPr="00707490" w:rsidRDefault="00707490" w:rsidP="00707490">
      <w:pPr>
        <w:pStyle w:val="NormalWeb"/>
        <w:jc w:val="both"/>
        <w:rPr>
          <w:rFonts w:ascii="Arial" w:hAnsi="Arial" w:cs="Arial"/>
        </w:rPr>
      </w:pPr>
      <w:r w:rsidRPr="00707490">
        <w:rPr>
          <w:rFonts w:ascii="Arial" w:hAnsi="Arial" w:cs="Arial"/>
        </w:rPr>
        <w:t>     Sub-section (2) provides for the specific category of incomes that shall be chargeable to income-tax under the head “Income from other sources”.</w:t>
      </w:r>
    </w:p>
    <w:p w:rsidR="00707490" w:rsidRPr="00707490" w:rsidRDefault="00707490" w:rsidP="00707490">
      <w:pPr>
        <w:pStyle w:val="NormalWeb"/>
        <w:jc w:val="both"/>
        <w:rPr>
          <w:rFonts w:ascii="Arial" w:hAnsi="Arial" w:cs="Arial"/>
        </w:rPr>
      </w:pPr>
      <w:r w:rsidRPr="00707490">
        <w:rPr>
          <w:rFonts w:ascii="Arial" w:hAnsi="Arial" w:cs="Arial"/>
        </w:rPr>
        <w:t>     It is proposed to insert a new clause (ix) in sub-section (2) of section 56 to provide for the taxability of any sum of money, received as an advance or otherwise in the course of negotiations for transfer of a capital asset. Such sum shall be chargeable to income-tax under the head ‘income from other sources’ if such sum is forfeited and the negotiations do not result in transfer of such capital asset. A consequential amendment in clause (24) of section (2) is also being made to include such sum in the definition of the term 'income'.</w:t>
      </w:r>
    </w:p>
    <w:p w:rsidR="00707490" w:rsidRPr="00707490" w:rsidRDefault="00707490" w:rsidP="00707490">
      <w:pPr>
        <w:pStyle w:val="NormalWeb"/>
        <w:jc w:val="both"/>
        <w:rPr>
          <w:rFonts w:ascii="Arial" w:hAnsi="Arial" w:cs="Arial"/>
        </w:rPr>
      </w:pPr>
      <w:r w:rsidRPr="00707490">
        <w:rPr>
          <w:rFonts w:ascii="Arial" w:hAnsi="Arial" w:cs="Arial"/>
        </w:rPr>
        <w:t xml:space="preserve">     The existing provisions of section 51 provide that any advance retained or received shall be reduced from the cost of acquisition of the asset or the written down value or the fair market value of the asset. In order to avoid double taxation of the advance received and retained, section 51 is also proposed to be amended to provide that where any sum of money received as an advance or otherwise in the course of negotiations for transfer of a capital asset , has been included in the total income of the </w:t>
      </w:r>
      <w:proofErr w:type="spellStart"/>
      <w:r w:rsidRPr="00707490">
        <w:rPr>
          <w:rFonts w:ascii="Arial" w:hAnsi="Arial" w:cs="Arial"/>
        </w:rPr>
        <w:t>assesse</w:t>
      </w:r>
      <w:proofErr w:type="spellEnd"/>
      <w:r w:rsidRPr="00707490">
        <w:rPr>
          <w:rFonts w:ascii="Arial" w:hAnsi="Arial" w:cs="Arial"/>
        </w:rPr>
        <w:t xml:space="preserve"> for any previous year, in accordance with the provisions of clause (ix) of sub-section (2) of </w:t>
      </w:r>
      <w:r w:rsidRPr="00707490">
        <w:rPr>
          <w:rFonts w:ascii="Arial" w:hAnsi="Arial" w:cs="Arial"/>
        </w:rPr>
        <w:lastRenderedPageBreak/>
        <w:t>section 56, such amount shall not be deducted from the cost for which the asset was acquired or the written down value or the fair market value, as the case may be, in computing the cost of acquisition.</w:t>
      </w:r>
    </w:p>
    <w:p w:rsidR="00707490" w:rsidRPr="00707490" w:rsidRDefault="00707490" w:rsidP="00707490">
      <w:pPr>
        <w:pStyle w:val="NormalWeb"/>
        <w:jc w:val="both"/>
        <w:rPr>
          <w:rFonts w:ascii="Arial" w:hAnsi="Arial" w:cs="Arial"/>
        </w:rPr>
      </w:pPr>
      <w:r w:rsidRPr="00707490">
        <w:rPr>
          <w:rFonts w:ascii="Arial" w:hAnsi="Arial" w:cs="Arial"/>
        </w:rPr>
        <w:t>     These amendments will take effect from 1st April, 2015 and will, accordingly, apply in relation to the assessment year 2015-16 and subsequent years.</w:t>
      </w:r>
    </w:p>
    <w:p w:rsidR="00F43FE9" w:rsidRPr="001F163C" w:rsidRDefault="00F43FE9" w:rsidP="00707490">
      <w:pPr>
        <w:pBdr>
          <w:bottom w:val="single" w:sz="4" w:space="1" w:color="auto"/>
        </w:pBdr>
        <w:autoSpaceDE w:val="0"/>
        <w:autoSpaceDN w:val="0"/>
        <w:adjustRightInd w:val="0"/>
        <w:spacing w:after="0" w:line="240" w:lineRule="auto"/>
        <w:jc w:val="both"/>
        <w:rPr>
          <w:rFonts w:ascii="Arial" w:hAnsi="Arial" w:cs="Arial"/>
          <w:color w:val="231F20"/>
          <w:sz w:val="24"/>
          <w:szCs w:val="24"/>
        </w:rPr>
      </w:pPr>
    </w:p>
    <w:sectPr w:rsidR="00F43FE9" w:rsidRPr="001F163C"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D187D"/>
    <w:multiLevelType w:val="hybridMultilevel"/>
    <w:tmpl w:val="6B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2B0F68"/>
    <w:multiLevelType w:val="hybridMultilevel"/>
    <w:tmpl w:val="CEF2D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1F163C"/>
    <w:rsid w:val="000A24D2"/>
    <w:rsid w:val="001F163C"/>
    <w:rsid w:val="00404D66"/>
    <w:rsid w:val="005015BD"/>
    <w:rsid w:val="00707490"/>
    <w:rsid w:val="00EC2806"/>
    <w:rsid w:val="00F43F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FE9"/>
    <w:pPr>
      <w:ind w:left="720"/>
      <w:contextualSpacing/>
    </w:pPr>
  </w:style>
  <w:style w:type="character" w:styleId="Strong">
    <w:name w:val="Strong"/>
    <w:basedOn w:val="DefaultParagraphFont"/>
    <w:uiPriority w:val="22"/>
    <w:qFormat/>
    <w:rsid w:val="00707490"/>
    <w:rPr>
      <w:b/>
      <w:bCs/>
    </w:rPr>
  </w:style>
  <w:style w:type="paragraph" w:styleId="NormalWeb">
    <w:name w:val="Normal (Web)"/>
    <w:basedOn w:val="Normal"/>
    <w:uiPriority w:val="99"/>
    <w:semiHidden/>
    <w:unhideWhenUsed/>
    <w:rsid w:val="0070749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53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4</cp:revision>
  <dcterms:created xsi:type="dcterms:W3CDTF">2014-07-16T07:51:00Z</dcterms:created>
  <dcterms:modified xsi:type="dcterms:W3CDTF">2014-07-16T11:14:00Z</dcterms:modified>
</cp:coreProperties>
</file>